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c08ou09t645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4mahmqv1l3tw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Fall 2025 Student Retention and Persistence Rates (2021-2025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white"/>
          <w:rtl w:val="0"/>
        </w:rPr>
        <w:t xml:space="preserve">This table contains retention information related to the likelihood that students who began their college career as full-time students at SNU will re-enroll as sophomores, as </w:t>
      </w:r>
      <w:r w:rsidDel="00000000" w:rsidR="00000000" w:rsidRPr="00000000">
        <w:rPr>
          <w:rtl w:val="0"/>
        </w:rPr>
        <w:t xml:space="preserve">SNU defines retention as the first to third semester. Persistence is defined at SNU as a measure of long-term sustained enrollment (first to fifth and first to seventh semesters).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750"/>
        <w:gridCol w:w="585"/>
        <w:gridCol w:w="990"/>
        <w:gridCol w:w="630"/>
        <w:gridCol w:w="1080"/>
        <w:gridCol w:w="900"/>
        <w:gridCol w:w="1140"/>
        <w:tblGridChange w:id="0">
          <w:tblGrid>
            <w:gridCol w:w="1725"/>
            <w:gridCol w:w="750"/>
            <w:gridCol w:w="585"/>
            <w:gridCol w:w="990"/>
            <w:gridCol w:w="630"/>
            <w:gridCol w:w="1080"/>
            <w:gridCol w:w="900"/>
            <w:gridCol w:w="11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RETENTION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3th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5th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7th Sem.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68.4%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54.3%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47.2%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RETENTION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3th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5th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7th Sem.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67.8%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50.0%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41.5%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5"/>
        <w:gridCol w:w="750"/>
        <w:gridCol w:w="1155"/>
        <w:gridCol w:w="780"/>
        <w:gridCol w:w="2820"/>
        <w:tblGridChange w:id="0">
          <w:tblGrid>
            <w:gridCol w:w="1530"/>
            <w:gridCol w:w="735"/>
            <w:gridCol w:w="750"/>
            <w:gridCol w:w="1155"/>
            <w:gridCol w:w="780"/>
            <w:gridCol w:w="28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RETENTION</w:t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3th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5th Sem.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2023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69.9%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48.3%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RETENTION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1st to 3th Sem.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66.6%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17290" cy="914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729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b w:val="1"/>
      <w:bCs w:val="1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